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138286.xml.htm"/>
      <w:bookmarkStart w:id="1" w:name="kswkform4_17791382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Galai Yaron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 WEST 19TH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Teads Holding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TEAD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Co-Founder and Board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931"/>
        <w:gridCol w:w="454"/>
        <w:gridCol w:w="617"/>
        <w:gridCol w:w="1280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3,438,019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pursuant to the Issuer's 2021 Long-Term Incentive Plan which vest in twelve equal increments over a period of three years beginning June 5, 2026, and on each quarterly anniversary thereof.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Veronica Gonzalez,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4133" TargetMode="External"/><Relationship Id="rId5" Type="http://schemas.openxmlformats.org/officeDocument/2006/relationships/hyperlink" Target="http://www.sec.gov/cgi-bin/browse-edgar?action=getcompany&amp;CIK=00014549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3248</Characters>
  <CharactersWithSpaces>3785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