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5743.xml.htm"/>
      <w:bookmarkStart w:id="1" w:name="kswkform4_17889957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Kiviat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Teads Holding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TEAD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323,467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319,927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314,185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tax obligations arising upon vesting and settlement of performance stock units under the Issuer's 2021 Long-Term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the Issuer to cover tax obligations arising upon vesting and settlement of restricted stock units under the Issuer's 2021 Long-Term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by the Issuer to cover tax obligations arising upon vesting and settlement of restricted stock units under the Issuer's 2007 Omnibus Securities and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Veronica Gonzalez,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6504" TargetMode="External"/><Relationship Id="rId5" Type="http://schemas.openxmlformats.org/officeDocument/2006/relationships/hyperlink" Target="http://www.sec.gov/cgi-bin/browse-edgar?action=getcompany&amp;CIK=00014549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3708</Characters>
  <CharactersWithSpaces>4306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