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5737.xml.htm"/>
      <w:bookmarkStart w:id="1" w:name="kswkform4_17889957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Bradshaw Wenkai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TEADS HOLDING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Teads Holding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TEAD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 &amp; SVP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164,133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162,029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161,651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tax obligations arising upon vesting and settlement of performance stock units under the Issuer's 2021 Long-Term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by the Issuer to cover tax obligations arising upon vesting and settlement of restricted stock units under the Issuer's 2021 Long-Term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withheld by the Issuer to cover tax obligations arising upon vesting and settlement of restricted stock units under the Issuer's 2007 Omnibus Securities and Incentive Plan in a transaction exempt under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Veronica Gonzalez,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361" TargetMode="External"/><Relationship Id="rId5" Type="http://schemas.openxmlformats.org/officeDocument/2006/relationships/hyperlink" Target="http://www.sec.gov/cgi-bin/browse-edgar?action=getcompany&amp;CIK=00014549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3731</Characters>
  <CharactersWithSpaces>4334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